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D866" w14:textId="77777777" w:rsidR="003320D5" w:rsidRDefault="005D6B32" w:rsidP="00E619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14:paraId="09E08C10" w14:textId="77777777" w:rsidR="005D6B32" w:rsidRPr="00D56634" w:rsidRDefault="005D6B32" w:rsidP="00E619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669EE79" w14:textId="77777777" w:rsidR="007808C7" w:rsidRPr="00D56634" w:rsidRDefault="007808C7" w:rsidP="00E619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E5553" w14:textId="77777777" w:rsidR="003320D5" w:rsidRPr="00D56634" w:rsidRDefault="004A0180" w:rsidP="00E619C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5A4C21EC" w14:textId="77777777" w:rsidR="00627DBA" w:rsidRPr="00D56634" w:rsidRDefault="004A0180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634">
        <w:rPr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spiritual.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Nasional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663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Indonesia. Pendidikan,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aka</w:t>
      </w:r>
      <w:r w:rsidR="00AA699D" w:rsidRPr="00D566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97806" w:rsidRPr="00D5663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mengiringinya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. </w:t>
      </w:r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9D" w:rsidRPr="00D5663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AA699D" w:rsidRPr="00D56634">
        <w:rPr>
          <w:rFonts w:ascii="Times New Roman" w:hAnsi="Times New Roman" w:cs="Times New Roman"/>
          <w:sz w:val="24"/>
          <w:szCs w:val="24"/>
        </w:rPr>
        <w:t xml:space="preserve">. </w:t>
      </w:r>
      <w:r w:rsidR="00697806" w:rsidRPr="00D56634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Nabi yang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juga oleh UNESCO,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buaian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liang lahat</w:t>
      </w:r>
      <w:r w:rsidR="000C7BB3" w:rsidRPr="00D5663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o</w:t>
      </w:r>
      <w:r w:rsidR="00697806" w:rsidRPr="00D56634">
        <w:rPr>
          <w:rFonts w:ascii="Times New Roman" w:hAnsi="Times New Roman" w:cs="Times New Roman"/>
          <w:sz w:val="24"/>
          <w:szCs w:val="24"/>
        </w:rPr>
        <w:t xml:space="preserve">leh UNESCO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diistilahkan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806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78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697806" w:rsidRPr="00D56634">
        <w:rPr>
          <w:rFonts w:ascii="Times New Roman" w:hAnsi="Times New Roman" w:cs="Times New Roman"/>
          <w:i/>
          <w:sz w:val="24"/>
          <w:szCs w:val="24"/>
        </w:rPr>
        <w:t>lifelong learning</w:t>
      </w:r>
      <w:r w:rsidR="00697806" w:rsidRPr="00D56634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 w:rsidR="00697806" w:rsidRPr="00D56634">
        <w:rPr>
          <w:rFonts w:ascii="Times New Roman" w:hAnsi="Times New Roman" w:cs="Times New Roman"/>
          <w:i/>
          <w:sz w:val="24"/>
          <w:szCs w:val="24"/>
        </w:rPr>
        <w:t>.</w:t>
      </w:r>
    </w:p>
    <w:p w14:paraId="35BE5398" w14:textId="77777777" w:rsidR="00697806" w:rsidRPr="00D56634" w:rsidRDefault="00697806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634">
        <w:rPr>
          <w:rFonts w:ascii="Times New Roman" w:hAnsi="Times New Roman" w:cs="Times New Roman"/>
          <w:i/>
          <w:sz w:val="24"/>
          <w:szCs w:val="24"/>
        </w:rPr>
        <w:t>Lifelong learning</w:t>
      </w:r>
      <w:r w:rsidRPr="00D56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 zaman dan </w:t>
      </w:r>
      <w:proofErr w:type="spellStart"/>
      <w:r w:rsidR="00481160" w:rsidRPr="00D5663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81160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406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04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6" w:rsidRPr="00D5663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0304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6" w:rsidRPr="00D56634">
        <w:rPr>
          <w:rFonts w:ascii="Times New Roman" w:hAnsi="Times New Roman" w:cs="Times New Roman"/>
          <w:sz w:val="24"/>
          <w:szCs w:val="24"/>
        </w:rPr>
        <w:t>pengantarnya</w:t>
      </w:r>
      <w:proofErr w:type="spellEnd"/>
      <w:r w:rsidR="00030406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06" w:rsidRPr="00D56634">
        <w:rPr>
          <w:rFonts w:ascii="Times New Roman" w:hAnsi="Times New Roman" w:cs="Times New Roman"/>
          <w:sz w:val="24"/>
          <w:szCs w:val="24"/>
        </w:rPr>
        <w:t>Unesco</w:t>
      </w:r>
      <w:proofErr w:type="spellEnd"/>
      <w:r w:rsidR="0003040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6" w:rsidRPr="00D5663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B66C3" w:rsidRPr="00D5663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30406" w:rsidRPr="00D566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99C788" w14:textId="77777777" w:rsidR="00030406" w:rsidRPr="00D56634" w:rsidRDefault="00030406" w:rsidP="00E619C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6634">
        <w:rPr>
          <w:rFonts w:ascii="Times New Roman" w:hAnsi="Times New Roman" w:cs="Times New Roman"/>
          <w:i/>
          <w:sz w:val="24"/>
          <w:szCs w:val="24"/>
        </w:rPr>
        <w:t>“Lifelong learning is rooted in the integration of learning and living, covering lifelong (cradle to grave) and life-wide learning for people of all ages, delivered and undertaken through a variety of modalities and meeting a wide range of learning needs and demands”</w:t>
      </w:r>
      <w:r w:rsidR="006B66C3" w:rsidRPr="00D56634">
        <w:rPr>
          <w:rFonts w:ascii="Times New Roman" w:hAnsi="Times New Roman" w:cs="Times New Roman"/>
          <w:i/>
          <w:sz w:val="24"/>
          <w:szCs w:val="24"/>
        </w:rPr>
        <w:t>.</w:t>
      </w:r>
      <w:r w:rsidRPr="00D56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634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lastRenderedPageBreak/>
        <w:t>sepanjang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(cradle to grave)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modalitas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”)</w:t>
      </w:r>
    </w:p>
    <w:p w14:paraId="63889A06" w14:textId="77777777" w:rsidR="00627DBA" w:rsidRPr="00D56634" w:rsidRDefault="00030406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</w:t>
      </w:r>
      <w:r w:rsidR="00AD125B" w:rsidRPr="00D56634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r w:rsidRPr="00D56634">
        <w:rPr>
          <w:rFonts w:ascii="Times New Roman" w:hAnsi="Times New Roman" w:cs="Times New Roman"/>
          <w:i/>
          <w:sz w:val="24"/>
          <w:szCs w:val="24"/>
        </w:rPr>
        <w:t>break-down</w:t>
      </w:r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Pr="00D56634">
        <w:rPr>
          <w:rFonts w:ascii="Times New Roman" w:hAnsi="Times New Roman" w:cs="Times New Roman"/>
          <w:i/>
          <w:sz w:val="24"/>
          <w:szCs w:val="24"/>
        </w:rPr>
        <w:t xml:space="preserve">learning to know, learning to do, learning to be </w:t>
      </w:r>
      <w:r w:rsidRPr="00D56634">
        <w:rPr>
          <w:rFonts w:ascii="Times New Roman" w:hAnsi="Times New Roman" w:cs="Times New Roman"/>
          <w:sz w:val="24"/>
          <w:szCs w:val="24"/>
        </w:rPr>
        <w:t xml:space="preserve">dan </w:t>
      </w:r>
      <w:r w:rsidRPr="00D56634">
        <w:rPr>
          <w:rFonts w:ascii="Times New Roman" w:hAnsi="Times New Roman" w:cs="Times New Roman"/>
          <w:i/>
          <w:sz w:val="24"/>
          <w:szCs w:val="24"/>
        </w:rPr>
        <w:t>lear</w:t>
      </w:r>
      <w:r w:rsidR="00403EFB" w:rsidRPr="00D56634">
        <w:rPr>
          <w:rFonts w:ascii="Times New Roman" w:hAnsi="Times New Roman" w:cs="Times New Roman"/>
          <w:i/>
          <w:sz w:val="24"/>
          <w:szCs w:val="24"/>
        </w:rPr>
        <w:t>ning</w:t>
      </w:r>
      <w:r w:rsidRPr="00D56634">
        <w:rPr>
          <w:rFonts w:ascii="Times New Roman" w:hAnsi="Times New Roman" w:cs="Times New Roman"/>
          <w:i/>
          <w:sz w:val="24"/>
          <w:szCs w:val="24"/>
        </w:rPr>
        <w:t xml:space="preserve"> to live together</w:t>
      </w:r>
      <w:r w:rsidR="00403EFB" w:rsidRPr="00D56634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5"/>
      </w:r>
      <w:r w:rsidR="00403EFB" w:rsidRPr="00D56634">
        <w:rPr>
          <w:rFonts w:ascii="Times New Roman" w:hAnsi="Times New Roman" w:cs="Times New Roman"/>
          <w:i/>
          <w:sz w:val="24"/>
          <w:szCs w:val="24"/>
        </w:rPr>
        <w:t>.</w:t>
      </w:r>
      <w:r w:rsidR="00AD125B" w:rsidRPr="00D56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Pengejawantahan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5B" w:rsidRPr="00D566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D125B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185924" w:rsidRPr="00D5663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zaman.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humanistik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A16C5" w:rsidRPr="00D5663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185924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i/>
          <w:sz w:val="24"/>
          <w:szCs w:val="24"/>
        </w:rPr>
        <w:t>hablun</w:t>
      </w:r>
      <w:proofErr w:type="spellEnd"/>
      <w:r w:rsidR="00185924" w:rsidRPr="00D56634">
        <w:rPr>
          <w:rFonts w:ascii="Times New Roman" w:hAnsi="Times New Roman" w:cs="Times New Roman"/>
          <w:i/>
          <w:sz w:val="24"/>
          <w:szCs w:val="24"/>
        </w:rPr>
        <w:t xml:space="preserve"> min </w:t>
      </w:r>
      <w:proofErr w:type="gramStart"/>
      <w:r w:rsidR="00185924" w:rsidRPr="00D56634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185924" w:rsidRPr="00D56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24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924" w:rsidRPr="00D56634">
        <w:rPr>
          <w:rFonts w:ascii="Times New Roman" w:hAnsi="Times New Roman" w:cs="Times New Roman"/>
          <w:sz w:val="24"/>
          <w:szCs w:val="24"/>
        </w:rPr>
        <w:t xml:space="preserve"> Islam.</w:t>
      </w:r>
    </w:p>
    <w:p w14:paraId="0A89CE6C" w14:textId="77777777" w:rsidR="00E435E7" w:rsidRPr="00D56634" w:rsidRDefault="00185924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634">
        <w:rPr>
          <w:rFonts w:ascii="Times New Roman" w:hAnsi="Times New Roman" w:cs="Times New Roman"/>
          <w:sz w:val="24"/>
          <w:szCs w:val="24"/>
        </w:rPr>
        <w:t xml:space="preserve">Pendidikan Islam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i/>
          <w:sz w:val="24"/>
          <w:szCs w:val="24"/>
        </w:rPr>
        <w:t>hablun</w:t>
      </w:r>
      <w:proofErr w:type="spellEnd"/>
      <w:r w:rsidR="00E21A7D" w:rsidRPr="00D56634">
        <w:rPr>
          <w:rFonts w:ascii="Times New Roman" w:hAnsi="Times New Roman" w:cs="Times New Roman"/>
          <w:i/>
          <w:sz w:val="24"/>
          <w:szCs w:val="24"/>
        </w:rPr>
        <w:t xml:space="preserve"> min </w:t>
      </w:r>
      <w:proofErr w:type="gramStart"/>
      <w:r w:rsidR="00E21A7D" w:rsidRPr="00D56634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E21A7D" w:rsidRPr="00D56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1A7D" w:rsidRPr="00D56634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7D" w:rsidRPr="00D5663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21A7D" w:rsidRPr="00D5663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21A7D" w:rsidRPr="00D56634">
        <w:rPr>
          <w:rFonts w:ascii="Times New Roman" w:hAnsi="Times New Roman" w:cs="Times New Roman"/>
          <w:i/>
          <w:sz w:val="24"/>
          <w:szCs w:val="24"/>
        </w:rPr>
        <w:t>hablun</w:t>
      </w:r>
      <w:proofErr w:type="spellEnd"/>
      <w:r w:rsidR="00E21A7D" w:rsidRPr="00D56634">
        <w:rPr>
          <w:rFonts w:ascii="Times New Roman" w:hAnsi="Times New Roman" w:cs="Times New Roman"/>
          <w:i/>
          <w:sz w:val="24"/>
          <w:szCs w:val="24"/>
        </w:rPr>
        <w:t xml:space="preserve"> min</w:t>
      </w:r>
      <w:r w:rsidR="00E21A7D" w:rsidRPr="00D56634">
        <w:rPr>
          <w:rFonts w:ascii="Times New Roman" w:hAnsi="Times New Roman" w:cs="Times New Roman"/>
          <w:sz w:val="24"/>
          <w:szCs w:val="24"/>
        </w:rPr>
        <w:t xml:space="preserve"> Allah. </w:t>
      </w:r>
      <w:r w:rsidR="00707FA3" w:rsidRPr="00D56634">
        <w:rPr>
          <w:rFonts w:ascii="Times New Roman" w:hAnsi="Times New Roman" w:cs="Times New Roman"/>
          <w:sz w:val="24"/>
          <w:szCs w:val="24"/>
        </w:rPr>
        <w:t xml:space="preserve">Pendidikan Islam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tauhid dan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. Pendidikan Tauhid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i/>
          <w:sz w:val="24"/>
          <w:szCs w:val="24"/>
        </w:rPr>
        <w:t>hablun</w:t>
      </w:r>
      <w:proofErr w:type="spellEnd"/>
      <w:r w:rsidR="00707FA3" w:rsidRPr="00D56634">
        <w:rPr>
          <w:rFonts w:ascii="Times New Roman" w:hAnsi="Times New Roman" w:cs="Times New Roman"/>
          <w:i/>
          <w:sz w:val="24"/>
          <w:szCs w:val="24"/>
        </w:rPr>
        <w:t xml:space="preserve"> min</w:t>
      </w:r>
      <w:r w:rsidR="00707FA3" w:rsidRPr="00D56634">
        <w:rPr>
          <w:rFonts w:ascii="Times New Roman" w:hAnsi="Times New Roman" w:cs="Times New Roman"/>
          <w:sz w:val="24"/>
          <w:szCs w:val="24"/>
        </w:rPr>
        <w:t xml:space="preserve"> Allah dan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i/>
          <w:sz w:val="24"/>
          <w:szCs w:val="24"/>
        </w:rPr>
        <w:t>hablun</w:t>
      </w:r>
      <w:proofErr w:type="spellEnd"/>
      <w:r w:rsidR="00707FA3" w:rsidRPr="00D56634">
        <w:rPr>
          <w:rFonts w:ascii="Times New Roman" w:hAnsi="Times New Roman" w:cs="Times New Roman"/>
          <w:i/>
          <w:sz w:val="24"/>
          <w:szCs w:val="24"/>
        </w:rPr>
        <w:t xml:space="preserve"> min </w:t>
      </w:r>
      <w:proofErr w:type="gramStart"/>
      <w:r w:rsidR="00707FA3" w:rsidRPr="00D56634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707FA3" w:rsidRPr="00D56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7FA3" w:rsidRPr="00D56634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="00707FA3" w:rsidRPr="00D56634">
        <w:rPr>
          <w:rFonts w:ascii="Times New Roman" w:hAnsi="Times New Roman" w:cs="Times New Roman"/>
          <w:i/>
          <w:sz w:val="24"/>
          <w:szCs w:val="24"/>
        </w:rPr>
        <w:t>.</w:t>
      </w:r>
      <w:r w:rsidR="00707FA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="00E435E7" w:rsidRPr="00D5663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435E7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E435E7" w:rsidRPr="00D56634">
        <w:rPr>
          <w:rFonts w:ascii="Times New Roman" w:hAnsi="Times New Roman" w:cs="Times New Roman"/>
          <w:i/>
          <w:sz w:val="24"/>
          <w:szCs w:val="24"/>
        </w:rPr>
        <w:t>learning to live together</w:t>
      </w:r>
      <w:r w:rsidR="00E435E7" w:rsidRPr="00D56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0AA79" w14:textId="77777777" w:rsidR="00AD125B" w:rsidRPr="00D56634" w:rsidRDefault="00E435E7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. </w:t>
      </w:r>
      <w:r w:rsidR="000C7BB3" w:rsidRPr="00D56634">
        <w:rPr>
          <w:rFonts w:ascii="Times New Roman" w:hAnsi="Times New Roman" w:cs="Times New Roman"/>
          <w:sz w:val="24"/>
          <w:szCs w:val="24"/>
        </w:rPr>
        <w:t xml:space="preserve">Kurikulum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diselaraskan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C7BB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3" w:rsidRPr="00D566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7808C7" w:rsidRPr="00D56634">
        <w:rPr>
          <w:rFonts w:ascii="Times New Roman" w:hAnsi="Times New Roman" w:cs="Times New Roman"/>
          <w:sz w:val="24"/>
          <w:szCs w:val="24"/>
        </w:rPr>
        <w:lastRenderedPageBreak/>
        <w:t xml:space="preserve">lain,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Tauhid dan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komperehensif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keniscayaan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808C7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7808C7" w:rsidRPr="00D56634">
        <w:rPr>
          <w:rFonts w:ascii="Times New Roman" w:hAnsi="Times New Roman" w:cs="Times New Roman"/>
          <w:sz w:val="24"/>
          <w:szCs w:val="24"/>
        </w:rPr>
        <w:t xml:space="preserve"> Islamiyah”.</w:t>
      </w:r>
    </w:p>
    <w:p w14:paraId="7158C85C" w14:textId="77777777" w:rsidR="009E493C" w:rsidRPr="00D56634" w:rsidRDefault="00587EEE" w:rsidP="009F5F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034DAC" w:rsidRPr="00D5663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Islam</w:t>
      </w:r>
      <w:r w:rsidRPr="00D56634">
        <w:rPr>
          <w:rFonts w:ascii="Times New Roman" w:hAnsi="Times New Roman" w:cs="Times New Roman"/>
          <w:sz w:val="24"/>
          <w:szCs w:val="24"/>
        </w:rPr>
        <w:t xml:space="preserve">. </w:t>
      </w:r>
      <w:r w:rsidR="00034DAC" w:rsidRPr="00D5663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Islam. Program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034DAC" w:rsidRPr="00D5663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i/>
          <w:sz w:val="24"/>
          <w:szCs w:val="24"/>
        </w:rPr>
        <w:t>mabith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DAC" w:rsidRPr="00D56634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034DAC" w:rsidRPr="00D56634">
        <w:rPr>
          <w:rFonts w:ascii="Times New Roman" w:hAnsi="Times New Roman" w:cs="Times New Roman"/>
          <w:sz w:val="24"/>
          <w:szCs w:val="24"/>
        </w:rPr>
        <w:t xml:space="preserve"> dan spiritual</w:t>
      </w:r>
      <w:r w:rsidR="00C31ED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D5"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Islamiyah,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75" w:rsidRPr="00D56634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7B4C75" w:rsidRPr="00D56634">
        <w:rPr>
          <w:rFonts w:ascii="Times New Roman" w:hAnsi="Times New Roman" w:cs="Times New Roman"/>
          <w:sz w:val="24"/>
          <w:szCs w:val="24"/>
        </w:rPr>
        <w:t>.</w:t>
      </w:r>
    </w:p>
    <w:p w14:paraId="760B5A8B" w14:textId="77777777" w:rsidR="007808C7" w:rsidRPr="00D56634" w:rsidRDefault="009E493C" w:rsidP="009F5F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Atas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SMA 5, SMA 7</w:t>
      </w:r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SMA IT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SMK 1, SMK 3, SMK 5, SMK Bina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SMK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dan non agama.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bernuansa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Agama Islam. Di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problematikanya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menghiraukan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76"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49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3D7B89" w:rsidRPr="00D5663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SMA.</w:t>
      </w:r>
    </w:p>
    <w:p w14:paraId="2C9D80B5" w14:textId="77777777" w:rsidR="00034DAC" w:rsidRDefault="00034DAC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20"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05620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20" w:rsidRPr="00D5663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505620" w:rsidRPr="00D56634">
        <w:rPr>
          <w:rFonts w:ascii="Times New Roman" w:hAnsi="Times New Roman" w:cs="Times New Roman"/>
          <w:sz w:val="24"/>
          <w:szCs w:val="24"/>
        </w:rPr>
        <w:t xml:space="preserve">kurikulum 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lastRenderedPageBreak/>
        <w:t>integratif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="003E2BD3" w:rsidRPr="00D566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Islamiyah”, </w:t>
      </w:r>
      <w:r w:rsidRPr="00D5663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E2BD3" w:rsidRPr="00D56634">
        <w:rPr>
          <w:rFonts w:ascii="Times New Roman" w:hAnsi="Times New Roman" w:cs="Times New Roman"/>
          <w:sz w:val="24"/>
          <w:szCs w:val="24"/>
        </w:rPr>
        <w:t xml:space="preserve"> Atas di </w:t>
      </w:r>
      <w:proofErr w:type="spellStart"/>
      <w:r w:rsidR="003E2BD3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F5D1F" w14:textId="77777777" w:rsidR="00034DAC" w:rsidRPr="00D56634" w:rsidRDefault="00034DAC" w:rsidP="00E619C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2843F09" w14:textId="77777777" w:rsidR="003E2BD3" w:rsidRPr="00D56634" w:rsidRDefault="003E2BD3" w:rsidP="00E619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:</w:t>
      </w:r>
    </w:p>
    <w:p w14:paraId="16730EC5" w14:textId="77777777" w:rsidR="003E2BD3" w:rsidRPr="00D56634" w:rsidRDefault="003E2BD3" w:rsidP="00E619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</w:t>
      </w:r>
      <w:r w:rsidR="00433E76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pada SMA IT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?</w:t>
      </w:r>
    </w:p>
    <w:p w14:paraId="570A4E84" w14:textId="77777777" w:rsidR="00433E76" w:rsidRPr="00D56634" w:rsidRDefault="00433E76" w:rsidP="00E619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 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 di SMA IT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1730B93" w14:textId="77777777" w:rsidR="003E2BD3" w:rsidRPr="00D56634" w:rsidRDefault="003E2BD3" w:rsidP="00E619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</w:t>
      </w:r>
      <w:r w:rsidR="00433E76" w:rsidRPr="00D56634">
        <w:rPr>
          <w:rFonts w:ascii="Times New Roman" w:hAnsi="Times New Roman" w:cs="Times New Roman"/>
          <w:sz w:val="24"/>
          <w:szCs w:val="24"/>
        </w:rPr>
        <w:t xml:space="preserve"> SMA IT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433E76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76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?</w:t>
      </w:r>
    </w:p>
    <w:p w14:paraId="758FD646" w14:textId="77777777" w:rsidR="00F84976" w:rsidRPr="00D56634" w:rsidRDefault="00F84976" w:rsidP="00E619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SMA IT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?</w:t>
      </w:r>
    </w:p>
    <w:p w14:paraId="2A1C2D66" w14:textId="77777777" w:rsidR="003E2BD3" w:rsidRPr="00D56634" w:rsidRDefault="003E2BD3" w:rsidP="00E619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6602C" w14:textId="77777777" w:rsidR="00034DAC" w:rsidRPr="00D56634" w:rsidRDefault="00034DAC" w:rsidP="00E619C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34">
        <w:rPr>
          <w:rFonts w:ascii="Times New Roman" w:hAnsi="Times New Roman" w:cs="Times New Roman"/>
          <w:b/>
          <w:sz w:val="24"/>
          <w:szCs w:val="24"/>
        </w:rPr>
        <w:t xml:space="preserve">Batasan dan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Penegasan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Istilah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DA441B8" w14:textId="77777777" w:rsidR="00433E76" w:rsidRPr="00D56634" w:rsidRDefault="00AD658D" w:rsidP="00E619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Islamiyah yang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SMA IT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="00FD702E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D702E" w:rsidRPr="00D56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9D920" w14:textId="77777777" w:rsidR="00FD702E" w:rsidRPr="00D56634" w:rsidRDefault="00FD702E" w:rsidP="00484B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mengikutinya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sekilas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r w:rsidRPr="00D56634">
        <w:rPr>
          <w:rFonts w:ascii="Times New Roman" w:hAnsi="Times New Roman" w:cs="Times New Roman"/>
          <w:i/>
          <w:sz w:val="24"/>
          <w:szCs w:val="24"/>
        </w:rPr>
        <w:t>deep interview</w:t>
      </w:r>
      <w:r w:rsidRPr="00D56634">
        <w:rPr>
          <w:rFonts w:ascii="Times New Roman" w:hAnsi="Times New Roman" w:cs="Times New Roman"/>
          <w:sz w:val="24"/>
          <w:szCs w:val="24"/>
        </w:rPr>
        <w:t>.</w:t>
      </w:r>
    </w:p>
    <w:p w14:paraId="6A8BA40C" w14:textId="77777777" w:rsidR="00FD702E" w:rsidRPr="00D56634" w:rsidRDefault="00FD702E" w:rsidP="00E619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yang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SMA IT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.</w:t>
      </w:r>
    </w:p>
    <w:p w14:paraId="0A215148" w14:textId="77777777" w:rsidR="00907B5E" w:rsidRDefault="00907B5E" w:rsidP="00E619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E05E" w14:textId="77777777" w:rsidR="00B63367" w:rsidRPr="00D56634" w:rsidRDefault="00B63367" w:rsidP="00E619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74C3D" w14:textId="77777777" w:rsidR="00907B5E" w:rsidRPr="00D56634" w:rsidRDefault="00433E76" w:rsidP="00E619C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224B50C" w14:textId="77777777" w:rsidR="009E493C" w:rsidRPr="00D56634" w:rsidRDefault="009E493C" w:rsidP="00E619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</w:t>
      </w:r>
      <w:r w:rsidR="003D7B89" w:rsidRPr="00D566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pada SMA IT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</w:p>
    <w:p w14:paraId="654274FC" w14:textId="77777777" w:rsidR="009E493C" w:rsidRPr="00D56634" w:rsidRDefault="009E493C" w:rsidP="00E619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aplikatif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 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</w:t>
      </w:r>
      <w:r w:rsidR="003D7B89" w:rsidRPr="00D56634">
        <w:rPr>
          <w:rFonts w:ascii="Times New Roman" w:hAnsi="Times New Roman" w:cs="Times New Roman"/>
          <w:sz w:val="24"/>
          <w:szCs w:val="24"/>
        </w:rPr>
        <w:t xml:space="preserve"> di SMA IT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="003D7B89"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3D7B89" w:rsidRPr="00D56634">
        <w:rPr>
          <w:rFonts w:ascii="Times New Roman" w:hAnsi="Times New Roman" w:cs="Times New Roman"/>
          <w:sz w:val="24"/>
          <w:szCs w:val="24"/>
        </w:rPr>
        <w:t>.</w:t>
      </w:r>
    </w:p>
    <w:p w14:paraId="418EC967" w14:textId="77777777" w:rsidR="009E493C" w:rsidRPr="00D56634" w:rsidRDefault="003D7B89" w:rsidP="00E619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Islamiyah” di SMA IT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</w:p>
    <w:p w14:paraId="1DD156CD" w14:textId="77777777" w:rsidR="003D7B89" w:rsidRPr="00D56634" w:rsidRDefault="003D7B89" w:rsidP="00E619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Islamiyah.</w:t>
      </w:r>
    </w:p>
    <w:p w14:paraId="02FBBCE9" w14:textId="77777777" w:rsidR="00907B5E" w:rsidRPr="00D56634" w:rsidRDefault="00907B5E" w:rsidP="00E619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AE03C" w14:textId="77777777" w:rsidR="00433E76" w:rsidRPr="00D56634" w:rsidRDefault="00433E76" w:rsidP="00E619C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0C90A03" w14:textId="77777777" w:rsidR="008A1BDA" w:rsidRPr="00D56634" w:rsidRDefault="008A1BDA" w:rsidP="00E619C5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intelektektual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Pendidikan Islam </w:t>
      </w:r>
    </w:p>
    <w:p w14:paraId="3B91BFA6" w14:textId="77777777" w:rsidR="008A1BDA" w:rsidRPr="00D56634" w:rsidRDefault="008A1BDA" w:rsidP="00E619C5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617223BD" w14:textId="77777777" w:rsidR="008A1BDA" w:rsidRPr="00D56634" w:rsidRDefault="008A1BDA" w:rsidP="00E619C5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kurikulum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Islam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Sulawesi Tengah</w:t>
      </w:r>
    </w:p>
    <w:p w14:paraId="72D1E632" w14:textId="77777777" w:rsidR="008A1BDA" w:rsidRPr="00D56634" w:rsidRDefault="008A1BDA" w:rsidP="00E619C5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PTAIN/PTAI,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r w:rsidR="009938B1" w:rsidRPr="00D56634">
        <w:rPr>
          <w:rFonts w:ascii="Times New Roman" w:hAnsi="Times New Roman" w:cs="Times New Roman"/>
          <w:sz w:val="24"/>
          <w:szCs w:val="24"/>
        </w:rPr>
        <w:t xml:space="preserve">Universitas Islam Negeri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>.</w:t>
      </w:r>
    </w:p>
    <w:p w14:paraId="7978F283" w14:textId="77777777" w:rsidR="008A1BDA" w:rsidRPr="00D56634" w:rsidRDefault="008A1BDA" w:rsidP="00E619C5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  <w:r w:rsidR="009938B1" w:rsidRPr="00D56634">
        <w:rPr>
          <w:rFonts w:ascii="Times New Roman" w:hAnsi="Times New Roman" w:cs="Times New Roman"/>
          <w:iCs/>
          <w:sz w:val="24"/>
          <w:szCs w:val="24"/>
        </w:rPr>
        <w:t xml:space="preserve"> kurikulum </w:t>
      </w:r>
      <w:proofErr w:type="spellStart"/>
      <w:r w:rsidR="009938B1" w:rsidRPr="00D56634">
        <w:rPr>
          <w:rFonts w:ascii="Times New Roman" w:hAnsi="Times New Roman" w:cs="Times New Roman"/>
          <w:iCs/>
          <w:sz w:val="24"/>
          <w:szCs w:val="24"/>
        </w:rPr>
        <w:t>integratif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9938B1"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B1"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</w:p>
    <w:p w14:paraId="2FFC9097" w14:textId="77777777" w:rsidR="00D56634" w:rsidRDefault="00D5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43B438" w14:textId="77777777" w:rsidR="008A1BDA" w:rsidRPr="00D56634" w:rsidRDefault="00BC6275" w:rsidP="00BC627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1BDA" w:rsidRPr="00D566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B658722" w14:textId="77777777" w:rsidR="00BC6275" w:rsidRDefault="008A1BDA" w:rsidP="001F359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era new normal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r w:rsidRPr="00D56634">
        <w:rPr>
          <w:rFonts w:ascii="Times New Roman" w:hAnsi="Times New Roman" w:cs="Times New Roman"/>
          <w:sz w:val="24"/>
          <w:szCs w:val="24"/>
        </w:rPr>
        <w:t>1</w:t>
      </w:r>
      <w:r w:rsidR="00565506" w:rsidRPr="00D56634">
        <w:rPr>
          <w:rFonts w:ascii="Times New Roman" w:hAnsi="Times New Roman" w:cs="Times New Roman"/>
          <w:sz w:val="24"/>
          <w:szCs w:val="24"/>
        </w:rPr>
        <w:t>2</w:t>
      </w:r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BC6275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C6275">
        <w:rPr>
          <w:rFonts w:ascii="Times New Roman" w:hAnsi="Times New Roman" w:cs="Times New Roman"/>
          <w:sz w:val="24"/>
          <w:szCs w:val="24"/>
        </w:rPr>
        <w:t>.</w:t>
      </w:r>
    </w:p>
    <w:p w14:paraId="10FE0570" w14:textId="77777777" w:rsidR="00BC6275" w:rsidRDefault="00BC6275" w:rsidP="00BC627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PEMBAHASAN</w:t>
      </w:r>
    </w:p>
    <w:p w14:paraId="7C23443E" w14:textId="77777777" w:rsidR="00BC6275" w:rsidRDefault="00BC6275" w:rsidP="00BC627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6FFE0551" w14:textId="77777777" w:rsidR="00BC6275" w:rsidRDefault="00BC6275" w:rsidP="00BC627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kurikulum,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kurikulum,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Islamiyah,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1EEBEF" w14:textId="77777777" w:rsidR="00BC6275" w:rsidRDefault="00BC6275" w:rsidP="00BC627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604E253C" w14:textId="77777777" w:rsidR="00BC6275" w:rsidRDefault="00BC6275" w:rsidP="00BC627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34">
        <w:rPr>
          <w:rFonts w:ascii="Times New Roman" w:hAnsi="Times New Roman" w:cs="Times New Roman"/>
          <w:sz w:val="24"/>
          <w:szCs w:val="24"/>
        </w:rPr>
        <w:t xml:space="preserve">SMA IT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Qurrota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A’yun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dan SMK Bina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34"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guru,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kurikulum,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Islamiyah.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F760EA" w14:textId="77777777" w:rsidR="00BC6275" w:rsidRDefault="00BC6275" w:rsidP="00BC627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4DBCFD" w14:textId="77777777" w:rsidR="00BC6275" w:rsidRPr="00F3659C" w:rsidRDefault="00BC6275" w:rsidP="00BC627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57F06E" w14:textId="77777777" w:rsidR="00D56634" w:rsidRPr="00D56634" w:rsidRDefault="00D56634" w:rsidP="00E61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634" w:rsidRPr="00D56634" w:rsidSect="00896D4C">
      <w:footerReference w:type="even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E438" w14:textId="77777777" w:rsidR="00DE24C0" w:rsidRDefault="00DE24C0" w:rsidP="004A0180">
      <w:pPr>
        <w:spacing w:after="0" w:line="240" w:lineRule="auto"/>
      </w:pPr>
      <w:r>
        <w:separator/>
      </w:r>
    </w:p>
  </w:endnote>
  <w:endnote w:type="continuationSeparator" w:id="0">
    <w:p w14:paraId="0F3D17E5" w14:textId="77777777" w:rsidR="00DE24C0" w:rsidRDefault="00DE24C0" w:rsidP="004A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6B4" w14:textId="77777777" w:rsidR="000C259B" w:rsidRDefault="000C259B" w:rsidP="003D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DAC06" w14:textId="77777777" w:rsidR="000C259B" w:rsidRDefault="000C259B" w:rsidP="00896D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2353" w14:textId="77777777" w:rsidR="000C259B" w:rsidRDefault="000C259B" w:rsidP="003D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FE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E4C00D8" w14:textId="77777777" w:rsidR="000C259B" w:rsidRDefault="000C259B" w:rsidP="00896D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D33" w14:textId="77777777" w:rsidR="00DE24C0" w:rsidRDefault="00DE24C0" w:rsidP="004A0180">
      <w:pPr>
        <w:spacing w:after="0" w:line="240" w:lineRule="auto"/>
      </w:pPr>
      <w:r>
        <w:separator/>
      </w:r>
    </w:p>
  </w:footnote>
  <w:footnote w:type="continuationSeparator" w:id="0">
    <w:p w14:paraId="3CE11B35" w14:textId="77777777" w:rsidR="00DE24C0" w:rsidRDefault="00DE24C0" w:rsidP="004A0180">
      <w:pPr>
        <w:spacing w:after="0" w:line="240" w:lineRule="auto"/>
      </w:pPr>
      <w:r>
        <w:continuationSeparator/>
      </w:r>
    </w:p>
  </w:footnote>
  <w:footnote w:id="1">
    <w:p w14:paraId="01311029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  <w:lang w:val="en-US"/>
        </w:rPr>
        <w:t>Undang-undang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363D">
        <w:rPr>
          <w:rFonts w:ascii="Times New Roman" w:hAnsi="Times New Roman" w:cs="Times New Roman"/>
          <w:lang w:val="en-US"/>
        </w:rPr>
        <w:t>Republik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Indonesia </w:t>
      </w:r>
      <w:proofErr w:type="spellStart"/>
      <w:r w:rsidRPr="00ED363D">
        <w:rPr>
          <w:rFonts w:ascii="Times New Roman" w:hAnsi="Times New Roman" w:cs="Times New Roman"/>
          <w:lang w:val="en-US"/>
        </w:rPr>
        <w:t>Nomor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20 </w:t>
      </w:r>
      <w:proofErr w:type="spellStart"/>
      <w:r w:rsidRPr="00ED363D">
        <w:rPr>
          <w:rFonts w:ascii="Times New Roman" w:hAnsi="Times New Roman" w:cs="Times New Roman"/>
          <w:lang w:val="en-US"/>
        </w:rPr>
        <w:t>tahun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2003 </w:t>
      </w:r>
      <w:proofErr w:type="spellStart"/>
      <w:r w:rsidRPr="00ED363D">
        <w:rPr>
          <w:rFonts w:ascii="Times New Roman" w:hAnsi="Times New Roman" w:cs="Times New Roman"/>
          <w:lang w:val="en-US"/>
        </w:rPr>
        <w:t>tentang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363D">
        <w:rPr>
          <w:rFonts w:ascii="Times New Roman" w:hAnsi="Times New Roman" w:cs="Times New Roman"/>
          <w:lang w:val="en-US"/>
        </w:rPr>
        <w:t>Sistem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Pendidikan Nasional</w:t>
      </w:r>
    </w:p>
  </w:footnote>
  <w:footnote w:id="2">
    <w:p w14:paraId="5245A154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Tilaar</w:t>
      </w:r>
      <w:proofErr w:type="spellEnd"/>
      <w:r w:rsidRPr="00ED363D">
        <w:rPr>
          <w:rFonts w:ascii="Times New Roman" w:hAnsi="Times New Roman" w:cs="Times New Roman"/>
        </w:rPr>
        <w:t xml:space="preserve">, </w:t>
      </w:r>
      <w:r w:rsidRPr="00ED363D">
        <w:rPr>
          <w:rFonts w:ascii="Times New Roman" w:hAnsi="Times New Roman" w:cs="Times New Roman"/>
          <w:i/>
        </w:rPr>
        <w:t xml:space="preserve">Manifesto Pendidikan Nasional; </w:t>
      </w:r>
      <w:proofErr w:type="spellStart"/>
      <w:r w:rsidRPr="00ED363D">
        <w:rPr>
          <w:rFonts w:ascii="Times New Roman" w:hAnsi="Times New Roman" w:cs="Times New Roman"/>
          <w:i/>
        </w:rPr>
        <w:t>Tinjauan</w:t>
      </w:r>
      <w:proofErr w:type="spellEnd"/>
      <w:r w:rsidRPr="00ED363D">
        <w:rPr>
          <w:rFonts w:ascii="Times New Roman" w:hAnsi="Times New Roman" w:cs="Times New Roman"/>
          <w:i/>
        </w:rPr>
        <w:t xml:space="preserve"> </w:t>
      </w:r>
      <w:proofErr w:type="spellStart"/>
      <w:r w:rsidRPr="00ED363D">
        <w:rPr>
          <w:rFonts w:ascii="Times New Roman" w:hAnsi="Times New Roman" w:cs="Times New Roman"/>
          <w:i/>
        </w:rPr>
        <w:t>dari</w:t>
      </w:r>
      <w:proofErr w:type="spellEnd"/>
      <w:r w:rsidRPr="00ED363D">
        <w:rPr>
          <w:rFonts w:ascii="Times New Roman" w:hAnsi="Times New Roman" w:cs="Times New Roman"/>
          <w:i/>
        </w:rPr>
        <w:t xml:space="preserve"> </w:t>
      </w:r>
      <w:proofErr w:type="spellStart"/>
      <w:r w:rsidRPr="00ED363D">
        <w:rPr>
          <w:rFonts w:ascii="Times New Roman" w:hAnsi="Times New Roman" w:cs="Times New Roman"/>
          <w:i/>
        </w:rPr>
        <w:t>Perspektif</w:t>
      </w:r>
      <w:proofErr w:type="spellEnd"/>
      <w:r w:rsidRPr="00ED363D">
        <w:rPr>
          <w:rFonts w:ascii="Times New Roman" w:hAnsi="Times New Roman" w:cs="Times New Roman"/>
          <w:i/>
        </w:rPr>
        <w:t xml:space="preserve"> </w:t>
      </w:r>
      <w:proofErr w:type="spellStart"/>
      <w:r w:rsidRPr="00ED363D">
        <w:rPr>
          <w:rFonts w:ascii="Times New Roman" w:hAnsi="Times New Roman" w:cs="Times New Roman"/>
          <w:i/>
        </w:rPr>
        <w:t>Postmodernisme</w:t>
      </w:r>
      <w:proofErr w:type="spellEnd"/>
      <w:r w:rsidRPr="00ED363D">
        <w:rPr>
          <w:rFonts w:ascii="Times New Roman" w:hAnsi="Times New Roman" w:cs="Times New Roman"/>
          <w:i/>
        </w:rPr>
        <w:t xml:space="preserve"> dan </w:t>
      </w:r>
      <w:proofErr w:type="spellStart"/>
      <w:r w:rsidRPr="00ED363D">
        <w:rPr>
          <w:rFonts w:ascii="Times New Roman" w:hAnsi="Times New Roman" w:cs="Times New Roman"/>
          <w:i/>
        </w:rPr>
        <w:t>Studi</w:t>
      </w:r>
      <w:proofErr w:type="spellEnd"/>
      <w:r w:rsidRPr="00ED363D">
        <w:rPr>
          <w:rFonts w:ascii="Times New Roman" w:hAnsi="Times New Roman" w:cs="Times New Roman"/>
          <w:i/>
        </w:rPr>
        <w:t xml:space="preserve"> </w:t>
      </w:r>
      <w:proofErr w:type="spellStart"/>
      <w:r w:rsidRPr="00ED363D">
        <w:rPr>
          <w:rFonts w:ascii="Times New Roman" w:hAnsi="Times New Roman" w:cs="Times New Roman"/>
          <w:i/>
        </w:rPr>
        <w:t>Kultural</w:t>
      </w:r>
      <w:proofErr w:type="spellEnd"/>
      <w:r w:rsidRPr="00ED363D">
        <w:rPr>
          <w:rFonts w:ascii="Times New Roman" w:hAnsi="Times New Roman" w:cs="Times New Roman"/>
          <w:i/>
        </w:rPr>
        <w:t>,</w:t>
      </w:r>
      <w:r w:rsidRPr="00ED363D">
        <w:rPr>
          <w:rFonts w:ascii="Times New Roman" w:hAnsi="Times New Roman" w:cs="Times New Roman"/>
        </w:rPr>
        <w:t xml:space="preserve"> (Jakarta: PT. Kompas Media Nusantara, 2005), 113.</w:t>
      </w:r>
    </w:p>
  </w:footnote>
  <w:footnote w:id="3">
    <w:p w14:paraId="544AE257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</w:t>
      </w:r>
      <w:r w:rsidRPr="00ED363D">
        <w:rPr>
          <w:rFonts w:ascii="Times New Roman" w:hAnsi="Times New Roman" w:cs="Times New Roman"/>
          <w:lang w:val="en-US"/>
        </w:rPr>
        <w:t xml:space="preserve">Kementerian Pendidikan dan </w:t>
      </w:r>
      <w:proofErr w:type="spellStart"/>
      <w:r w:rsidRPr="00ED363D">
        <w:rPr>
          <w:rFonts w:ascii="Times New Roman" w:hAnsi="Times New Roman" w:cs="Times New Roman"/>
          <w:lang w:val="en-US"/>
        </w:rPr>
        <w:t>Kebudyaan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363D">
        <w:rPr>
          <w:rFonts w:ascii="Times New Roman" w:hAnsi="Times New Roman" w:cs="Times New Roman"/>
          <w:lang w:val="en-US"/>
        </w:rPr>
        <w:t>Republik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Indonesia, “Lifelong Learning”, </w:t>
      </w:r>
      <w:hyperlink r:id="rId1" w:history="1">
        <w:r w:rsidRPr="00ED363D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https://kniu.kemdikbud.go.id/?page_id=293</w:t>
        </w:r>
      </w:hyperlink>
      <w:r w:rsidRPr="00ED363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363D">
        <w:rPr>
          <w:rFonts w:ascii="Times New Roman" w:hAnsi="Times New Roman" w:cs="Times New Roman"/>
          <w:lang w:val="en-US"/>
        </w:rPr>
        <w:t>diakses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pada 09 </w:t>
      </w:r>
      <w:proofErr w:type="spellStart"/>
      <w:r w:rsidRPr="00ED363D">
        <w:rPr>
          <w:rFonts w:ascii="Times New Roman" w:hAnsi="Times New Roman" w:cs="Times New Roman"/>
          <w:lang w:val="en-US"/>
        </w:rPr>
        <w:t>Oktober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2021</w:t>
      </w:r>
    </w:p>
  </w:footnote>
  <w:footnote w:id="4">
    <w:p w14:paraId="57DA0C34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Arne </w:t>
      </w:r>
      <w:proofErr w:type="gramStart"/>
      <w:r w:rsidRPr="00ED363D">
        <w:rPr>
          <w:rFonts w:ascii="Times New Roman" w:hAnsi="Times New Roman" w:cs="Times New Roman"/>
        </w:rPr>
        <w:t>Carlsen,  “</w:t>
      </w:r>
      <w:proofErr w:type="gramEnd"/>
      <w:r w:rsidRPr="00ED363D">
        <w:rPr>
          <w:rFonts w:ascii="Times New Roman" w:hAnsi="Times New Roman" w:cs="Times New Roman"/>
        </w:rPr>
        <w:t xml:space="preserve">UNESCO Institute for Lifelong Learning Technical Note”, </w:t>
      </w:r>
      <w:proofErr w:type="spellStart"/>
      <w:r w:rsidRPr="00ED363D">
        <w:rPr>
          <w:rFonts w:ascii="Times New Roman" w:hAnsi="Times New Roman" w:cs="Times New Roman"/>
        </w:rPr>
        <w:t>diakses</w:t>
      </w:r>
      <w:proofErr w:type="spellEnd"/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dari</w:t>
      </w:r>
      <w:proofErr w:type="spellEnd"/>
      <w:r w:rsidRPr="00ED363D">
        <w:rPr>
          <w:rFonts w:ascii="Times New Roman" w:hAnsi="Times New Roman" w:cs="Times New Roman"/>
        </w:rPr>
        <w:t xml:space="preserve"> </w:t>
      </w:r>
      <w:hyperlink r:id="rId2" w:history="1">
        <w:r w:rsidRPr="00ED363D">
          <w:rPr>
            <w:rStyle w:val="Hyperlink"/>
            <w:rFonts w:ascii="Times New Roman" w:hAnsi="Times New Roman" w:cs="Times New Roman"/>
            <w:color w:val="auto"/>
            <w:u w:val="none"/>
          </w:rPr>
          <w:t>https://uil.unesco.org/fileadmin/keydocuments/LifelongLearning/en/UNESCOTechNotesLLL.pdf</w:t>
        </w:r>
      </w:hyperlink>
      <w:r w:rsidRPr="00ED363D">
        <w:rPr>
          <w:rFonts w:ascii="Times New Roman" w:hAnsi="Times New Roman" w:cs="Times New Roman"/>
        </w:rPr>
        <w:t xml:space="preserve">. </w:t>
      </w:r>
      <w:proofErr w:type="spellStart"/>
      <w:r w:rsidRPr="00ED363D">
        <w:rPr>
          <w:rFonts w:ascii="Times New Roman" w:hAnsi="Times New Roman" w:cs="Times New Roman"/>
        </w:rPr>
        <w:t>Diakses</w:t>
      </w:r>
      <w:proofErr w:type="spellEnd"/>
      <w:r w:rsidRPr="00ED363D">
        <w:rPr>
          <w:rFonts w:ascii="Times New Roman" w:hAnsi="Times New Roman" w:cs="Times New Roman"/>
        </w:rPr>
        <w:t xml:space="preserve"> pada 09 </w:t>
      </w:r>
      <w:proofErr w:type="spellStart"/>
      <w:r w:rsidRPr="00ED363D">
        <w:rPr>
          <w:rFonts w:ascii="Times New Roman" w:hAnsi="Times New Roman" w:cs="Times New Roman"/>
        </w:rPr>
        <w:t>Oktober</w:t>
      </w:r>
      <w:proofErr w:type="spellEnd"/>
      <w:r w:rsidRPr="00ED363D">
        <w:rPr>
          <w:rFonts w:ascii="Times New Roman" w:hAnsi="Times New Roman" w:cs="Times New Roman"/>
        </w:rPr>
        <w:t xml:space="preserve"> 2021</w:t>
      </w:r>
    </w:p>
  </w:footnote>
  <w:footnote w:id="5">
    <w:p w14:paraId="6313169B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Zuleide</w:t>
      </w:r>
      <w:proofErr w:type="spellEnd"/>
      <w:r w:rsidRPr="00ED363D">
        <w:rPr>
          <w:rFonts w:ascii="Times New Roman" w:hAnsi="Times New Roman" w:cs="Times New Roman"/>
        </w:rPr>
        <w:t xml:space="preserve"> Blanco Rodrigues, </w:t>
      </w:r>
      <w:r w:rsidRPr="00ED363D">
        <w:rPr>
          <w:rFonts w:ascii="Times New Roman" w:hAnsi="Times New Roman" w:cs="Times New Roman"/>
          <w:i/>
        </w:rPr>
        <w:t xml:space="preserve">Education: A Study Based </w:t>
      </w:r>
      <w:proofErr w:type="gramStart"/>
      <w:r w:rsidRPr="00ED363D">
        <w:rPr>
          <w:rFonts w:ascii="Times New Roman" w:hAnsi="Times New Roman" w:cs="Times New Roman"/>
          <w:i/>
        </w:rPr>
        <w:t>On</w:t>
      </w:r>
      <w:proofErr w:type="gramEnd"/>
      <w:r w:rsidRPr="00ED363D">
        <w:rPr>
          <w:rFonts w:ascii="Times New Roman" w:hAnsi="Times New Roman" w:cs="Times New Roman"/>
          <w:i/>
        </w:rPr>
        <w:t xml:space="preserve"> The </w:t>
      </w:r>
      <w:proofErr w:type="spellStart"/>
      <w:r w:rsidRPr="00ED363D">
        <w:rPr>
          <w:rFonts w:ascii="Times New Roman" w:hAnsi="Times New Roman" w:cs="Times New Roman"/>
          <w:i/>
        </w:rPr>
        <w:t>Unesco</w:t>
      </w:r>
      <w:proofErr w:type="spellEnd"/>
      <w:r w:rsidRPr="00ED363D">
        <w:rPr>
          <w:rFonts w:ascii="Times New Roman" w:hAnsi="Times New Roman" w:cs="Times New Roman"/>
          <w:i/>
        </w:rPr>
        <w:t xml:space="preserve"> Report On The Four Pillars Of Knowledge</w:t>
      </w:r>
      <w:r w:rsidRPr="00ED363D">
        <w:rPr>
          <w:rFonts w:ascii="Times New Roman" w:hAnsi="Times New Roman" w:cs="Times New Roman"/>
        </w:rPr>
        <w:t xml:space="preserve">, </w:t>
      </w:r>
      <w:proofErr w:type="spellStart"/>
      <w:r w:rsidRPr="00ED363D">
        <w:rPr>
          <w:rFonts w:ascii="Times New Roman" w:hAnsi="Times New Roman" w:cs="Times New Roman"/>
        </w:rPr>
        <w:t>Revista</w:t>
      </w:r>
      <w:proofErr w:type="spellEnd"/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Científica</w:t>
      </w:r>
      <w:proofErr w:type="spellEnd"/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Multidisciplinar</w:t>
      </w:r>
      <w:proofErr w:type="spellEnd"/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</w:rPr>
        <w:t>Núcleo</w:t>
      </w:r>
      <w:proofErr w:type="spellEnd"/>
      <w:r w:rsidRPr="00ED363D">
        <w:rPr>
          <w:rFonts w:ascii="Times New Roman" w:hAnsi="Times New Roman" w:cs="Times New Roman"/>
        </w:rPr>
        <w:t xml:space="preserve"> do </w:t>
      </w:r>
      <w:proofErr w:type="spellStart"/>
      <w:r w:rsidRPr="00ED363D">
        <w:rPr>
          <w:rFonts w:ascii="Times New Roman" w:hAnsi="Times New Roman" w:cs="Times New Roman"/>
        </w:rPr>
        <w:t>Conhecimento</w:t>
      </w:r>
      <w:proofErr w:type="spellEnd"/>
      <w:r w:rsidRPr="00ED363D">
        <w:rPr>
          <w:rFonts w:ascii="Times New Roman" w:hAnsi="Times New Roman" w:cs="Times New Roman"/>
        </w:rPr>
        <w:t xml:space="preserve">. Year 06, Ed. 01, Vol. 04, pp. 53-60. January 2021. ISSN: 2448-0959, Access link: https://www.nucleodoconhecimento.com.br/education/four-pillars, DOI: 10.32749/nucleodoconhecimento.com.br/education/four-pillars. </w:t>
      </w:r>
      <w:proofErr w:type="spellStart"/>
      <w:r w:rsidRPr="00ED363D">
        <w:rPr>
          <w:rFonts w:ascii="Times New Roman" w:hAnsi="Times New Roman" w:cs="Times New Roman"/>
        </w:rPr>
        <w:t>Lihat</w:t>
      </w:r>
      <w:proofErr w:type="spellEnd"/>
      <w:r w:rsidRPr="00ED363D">
        <w:rPr>
          <w:rFonts w:ascii="Times New Roman" w:hAnsi="Times New Roman" w:cs="Times New Roman"/>
        </w:rPr>
        <w:t xml:space="preserve"> juga Zhou </w:t>
      </w:r>
      <w:proofErr w:type="spellStart"/>
      <w:r w:rsidRPr="00ED363D">
        <w:rPr>
          <w:rFonts w:ascii="Times New Roman" w:hAnsi="Times New Roman" w:cs="Times New Roman"/>
        </w:rPr>
        <w:t>Nanzhao</w:t>
      </w:r>
      <w:proofErr w:type="spellEnd"/>
      <w:r w:rsidRPr="00ED363D">
        <w:rPr>
          <w:rFonts w:ascii="Times New Roman" w:hAnsi="Times New Roman" w:cs="Times New Roman"/>
        </w:rPr>
        <w:t xml:space="preserve">, </w:t>
      </w:r>
      <w:r w:rsidRPr="00ED363D">
        <w:rPr>
          <w:rFonts w:ascii="Times New Roman" w:hAnsi="Times New Roman" w:cs="Times New Roman"/>
          <w:i/>
        </w:rPr>
        <w:t xml:space="preserve">Four Pillars of Learning’ for the Reorientation and Reorganization of Curriculum Reflections and </w:t>
      </w:r>
      <w:proofErr w:type="gramStart"/>
      <w:r w:rsidRPr="00ED363D">
        <w:rPr>
          <w:rFonts w:ascii="Times New Roman" w:hAnsi="Times New Roman" w:cs="Times New Roman"/>
          <w:i/>
        </w:rPr>
        <w:t>Discussions.</w:t>
      </w:r>
      <w:r w:rsidRPr="00ED363D">
        <w:rPr>
          <w:rFonts w:ascii="Times New Roman" w:hAnsi="Times New Roman" w:cs="Times New Roman"/>
        </w:rPr>
        <w:t>(</w:t>
      </w:r>
      <w:proofErr w:type="gramEnd"/>
      <w:r w:rsidRPr="00ED363D">
        <w:rPr>
          <w:rFonts w:ascii="Times New Roman" w:hAnsi="Times New Roman" w:cs="Times New Roman"/>
        </w:rPr>
        <w:t>China: East-China Normal University, 2019).</w:t>
      </w:r>
    </w:p>
  </w:footnote>
  <w:footnote w:id="6">
    <w:p w14:paraId="6E5731D7" w14:textId="77777777" w:rsidR="000C259B" w:rsidRPr="00ED363D" w:rsidRDefault="000C259B" w:rsidP="00D5663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ED363D">
        <w:rPr>
          <w:rStyle w:val="FootnoteReference"/>
          <w:rFonts w:ascii="Times New Roman" w:hAnsi="Times New Roman" w:cs="Times New Roman"/>
        </w:rPr>
        <w:footnoteRef/>
      </w:r>
      <w:r w:rsidRPr="00ED363D">
        <w:rPr>
          <w:rFonts w:ascii="Times New Roman" w:hAnsi="Times New Roman" w:cs="Times New Roman"/>
        </w:rPr>
        <w:t xml:space="preserve"> </w:t>
      </w:r>
      <w:proofErr w:type="spellStart"/>
      <w:r w:rsidRPr="00ED363D">
        <w:rPr>
          <w:rFonts w:ascii="Times New Roman" w:hAnsi="Times New Roman" w:cs="Times New Roman"/>
          <w:lang w:val="en-US"/>
        </w:rPr>
        <w:t>Lihat</w:t>
      </w:r>
      <w:proofErr w:type="spellEnd"/>
      <w:r w:rsidRPr="00ED363D">
        <w:rPr>
          <w:rFonts w:ascii="Times New Roman" w:hAnsi="Times New Roman" w:cs="Times New Roman"/>
          <w:lang w:val="en-US"/>
        </w:rPr>
        <w:t xml:space="preserve"> Fourth International Conference on Learning Cities, </w:t>
      </w:r>
      <w:r w:rsidRPr="00ED363D">
        <w:rPr>
          <w:rFonts w:ascii="Times New Roman" w:hAnsi="Times New Roman" w:cs="Times New Roman"/>
          <w:i/>
          <w:lang w:val="en-US"/>
        </w:rPr>
        <w:t>Inclusion – A principle for lifelong learning and sustainable cities</w:t>
      </w:r>
      <w:r w:rsidRPr="00ED363D">
        <w:rPr>
          <w:rFonts w:ascii="Times New Roman" w:hAnsi="Times New Roman" w:cs="Times New Roman"/>
          <w:lang w:val="en-US"/>
        </w:rPr>
        <w:t>, (Hamburg: UNESCO Institute for Lifelong Learning, 2019), 1-36.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02"/>
    <w:multiLevelType w:val="hybridMultilevel"/>
    <w:tmpl w:val="88940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A07"/>
    <w:multiLevelType w:val="hybridMultilevel"/>
    <w:tmpl w:val="49021EC4"/>
    <w:lvl w:ilvl="0" w:tplc="C3981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9DCBB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3E7D13"/>
    <w:multiLevelType w:val="hybridMultilevel"/>
    <w:tmpl w:val="E466A4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421"/>
    <w:multiLevelType w:val="hybridMultilevel"/>
    <w:tmpl w:val="2D6A9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62916"/>
    <w:multiLevelType w:val="hybridMultilevel"/>
    <w:tmpl w:val="11A8C9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3263"/>
    <w:multiLevelType w:val="hybridMultilevel"/>
    <w:tmpl w:val="F6DE33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60D4"/>
    <w:multiLevelType w:val="hybridMultilevel"/>
    <w:tmpl w:val="FF6A1FEE"/>
    <w:lvl w:ilvl="0" w:tplc="519A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981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4148114">
    <w:abstractNumId w:val="2"/>
  </w:num>
  <w:num w:numId="2" w16cid:durableId="1533222772">
    <w:abstractNumId w:val="0"/>
  </w:num>
  <w:num w:numId="3" w16cid:durableId="1909681222">
    <w:abstractNumId w:val="5"/>
  </w:num>
  <w:num w:numId="4" w16cid:durableId="1347365131">
    <w:abstractNumId w:val="4"/>
  </w:num>
  <w:num w:numId="5" w16cid:durableId="1990937838">
    <w:abstractNumId w:val="3"/>
  </w:num>
  <w:num w:numId="6" w16cid:durableId="1577932997">
    <w:abstractNumId w:val="6"/>
  </w:num>
  <w:num w:numId="7" w16cid:durableId="59540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EF"/>
    <w:rsid w:val="0002208B"/>
    <w:rsid w:val="00030406"/>
    <w:rsid w:val="00034DAC"/>
    <w:rsid w:val="000625EF"/>
    <w:rsid w:val="000B7ED2"/>
    <w:rsid w:val="000C259B"/>
    <w:rsid w:val="000C7BB3"/>
    <w:rsid w:val="00185924"/>
    <w:rsid w:val="001946B6"/>
    <w:rsid w:val="001A7075"/>
    <w:rsid w:val="001F3593"/>
    <w:rsid w:val="002065C3"/>
    <w:rsid w:val="00206FBD"/>
    <w:rsid w:val="002905D1"/>
    <w:rsid w:val="003320D5"/>
    <w:rsid w:val="003B07BB"/>
    <w:rsid w:val="003D6396"/>
    <w:rsid w:val="003D7B89"/>
    <w:rsid w:val="003E2BD3"/>
    <w:rsid w:val="00403EFB"/>
    <w:rsid w:val="00433E76"/>
    <w:rsid w:val="00481160"/>
    <w:rsid w:val="00484BCA"/>
    <w:rsid w:val="004A0180"/>
    <w:rsid w:val="00505620"/>
    <w:rsid w:val="00520D47"/>
    <w:rsid w:val="00565506"/>
    <w:rsid w:val="00587EEE"/>
    <w:rsid w:val="005D6B32"/>
    <w:rsid w:val="005F7306"/>
    <w:rsid w:val="00606342"/>
    <w:rsid w:val="00627527"/>
    <w:rsid w:val="00627DBA"/>
    <w:rsid w:val="006843E5"/>
    <w:rsid w:val="00684AB9"/>
    <w:rsid w:val="00697806"/>
    <w:rsid w:val="006B66C3"/>
    <w:rsid w:val="006E52D1"/>
    <w:rsid w:val="00707FA3"/>
    <w:rsid w:val="00767E3F"/>
    <w:rsid w:val="007808C7"/>
    <w:rsid w:val="007A16C5"/>
    <w:rsid w:val="007B4C75"/>
    <w:rsid w:val="007D2331"/>
    <w:rsid w:val="007F3BA7"/>
    <w:rsid w:val="00877A9B"/>
    <w:rsid w:val="00883DA2"/>
    <w:rsid w:val="00896D4C"/>
    <w:rsid w:val="008A1BDA"/>
    <w:rsid w:val="00907B5E"/>
    <w:rsid w:val="009110AA"/>
    <w:rsid w:val="009338F0"/>
    <w:rsid w:val="009938B1"/>
    <w:rsid w:val="009E11F3"/>
    <w:rsid w:val="009E493C"/>
    <w:rsid w:val="009F5F13"/>
    <w:rsid w:val="00A27F4E"/>
    <w:rsid w:val="00A64F24"/>
    <w:rsid w:val="00AA699D"/>
    <w:rsid w:val="00AB22A5"/>
    <w:rsid w:val="00AD125B"/>
    <w:rsid w:val="00AD658D"/>
    <w:rsid w:val="00AF3811"/>
    <w:rsid w:val="00B54DBA"/>
    <w:rsid w:val="00B63367"/>
    <w:rsid w:val="00B75A54"/>
    <w:rsid w:val="00BC6275"/>
    <w:rsid w:val="00BC6F76"/>
    <w:rsid w:val="00C247F5"/>
    <w:rsid w:val="00C31ED5"/>
    <w:rsid w:val="00CA4FEB"/>
    <w:rsid w:val="00CD0F5D"/>
    <w:rsid w:val="00D56634"/>
    <w:rsid w:val="00D971F5"/>
    <w:rsid w:val="00DE24C0"/>
    <w:rsid w:val="00DE7C25"/>
    <w:rsid w:val="00E05EE6"/>
    <w:rsid w:val="00E21A7D"/>
    <w:rsid w:val="00E435E7"/>
    <w:rsid w:val="00E619C5"/>
    <w:rsid w:val="00EA2B70"/>
    <w:rsid w:val="00ED363D"/>
    <w:rsid w:val="00F14999"/>
    <w:rsid w:val="00F3659C"/>
    <w:rsid w:val="00F41B6F"/>
    <w:rsid w:val="00F71C82"/>
    <w:rsid w:val="00F849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BFC"/>
  <w15:chartTrackingRefBased/>
  <w15:docId w15:val="{571F6C0C-782A-4B26-B6CA-90AFEB6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0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1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4DAC"/>
    <w:pPr>
      <w:ind w:left="720"/>
      <w:contextualSpacing/>
    </w:pPr>
  </w:style>
  <w:style w:type="table" w:styleId="TableGrid">
    <w:name w:val="Table Grid"/>
    <w:basedOn w:val="TableNormal"/>
    <w:uiPriority w:val="59"/>
    <w:rsid w:val="008A1B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1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C5"/>
  </w:style>
  <w:style w:type="paragraph" w:styleId="Footer">
    <w:name w:val="footer"/>
    <w:basedOn w:val="Normal"/>
    <w:link w:val="FooterChar"/>
    <w:uiPriority w:val="99"/>
    <w:unhideWhenUsed/>
    <w:rsid w:val="00E61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C5"/>
  </w:style>
  <w:style w:type="character" w:styleId="Hyperlink">
    <w:name w:val="Hyperlink"/>
    <w:basedOn w:val="DefaultParagraphFont"/>
    <w:uiPriority w:val="99"/>
    <w:unhideWhenUsed/>
    <w:rsid w:val="006B66C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il.unesco.org/fileadmin/keydocuments/LifelongLearning/en/UNESCOTechNotesLLL.pdf" TargetMode="External"/><Relationship Id="rId1" Type="http://schemas.openxmlformats.org/officeDocument/2006/relationships/hyperlink" Target="https://kniu.kemdikbud.go.id/?page_id=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Nashtya</dc:creator>
  <cp:keywords/>
  <dc:description/>
  <cp:lastModifiedBy>alfarazy</cp:lastModifiedBy>
  <cp:revision>5</cp:revision>
  <dcterms:created xsi:type="dcterms:W3CDTF">2022-09-09T06:06:00Z</dcterms:created>
  <dcterms:modified xsi:type="dcterms:W3CDTF">2022-09-29T18:08:00Z</dcterms:modified>
</cp:coreProperties>
</file>